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B1" w:rsidRDefault="005D62EF">
      <w:pPr>
        <w:pStyle w:val="Standard"/>
        <w:snapToGrid w:val="0"/>
        <w:jc w:val="center"/>
        <w:rPr>
          <w:rFonts w:ascii="標楷體" w:eastAsia="標楷體" w:hAnsi="標楷體" w:cs="標楷體"/>
          <w:b/>
          <w:bCs/>
          <w:color w:val="000000"/>
          <w:sz w:val="3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bCs/>
          <w:color w:val="000000"/>
          <w:sz w:val="32"/>
        </w:rPr>
        <w:t>股份有限公司</w:t>
      </w:r>
    </w:p>
    <w:p w:rsidR="009D21B1" w:rsidRDefault="005D62EF">
      <w:pPr>
        <w:pStyle w:val="Standard"/>
        <w:snapToGrid w:val="0"/>
        <w:jc w:val="center"/>
        <w:rPr>
          <w:rFonts w:ascii="標楷體" w:eastAsia="標楷體" w:hAnsi="標楷體" w:cs="標楷體"/>
          <w:b/>
          <w:bCs/>
          <w:color w:val="000000"/>
          <w:sz w:val="32"/>
        </w:rPr>
      </w:pPr>
      <w:bookmarkStart w:id="1" w:name="公司章程"/>
      <w:r>
        <w:rPr>
          <w:rFonts w:ascii="標楷體" w:eastAsia="標楷體" w:hAnsi="標楷體" w:cs="標楷體"/>
          <w:b/>
          <w:bCs/>
          <w:color w:val="000000"/>
          <w:sz w:val="32"/>
        </w:rPr>
        <w:t>公司章程</w:t>
      </w:r>
      <w:bookmarkEnd w:id="1"/>
    </w:p>
    <w:p w:rsidR="009D21B1" w:rsidRDefault="009D21B1">
      <w:pPr>
        <w:pStyle w:val="Standard"/>
        <w:snapToGrid w:val="0"/>
        <w:jc w:val="center"/>
        <w:rPr>
          <w:rFonts w:ascii="標楷體" w:eastAsia="標楷體" w:hAnsi="標楷體" w:cs="標楷體"/>
          <w:b/>
          <w:bCs/>
          <w:color w:val="FF0000"/>
          <w:sz w:val="32"/>
          <w:shd w:val="clear" w:color="auto" w:fill="D8D8D8"/>
        </w:rPr>
      </w:pPr>
    </w:p>
    <w:p w:rsidR="009D21B1" w:rsidRDefault="005D62EF">
      <w:pPr>
        <w:pStyle w:val="Standard"/>
        <w:snapToGrid w:val="0"/>
        <w:jc w:val="center"/>
        <w:rPr>
          <w:rFonts w:ascii="標楷體" w:eastAsia="標楷體" w:hAnsi="標楷體" w:cs="標楷體"/>
          <w:color w:val="FF0000"/>
          <w:shd w:val="clear" w:color="auto" w:fill="FFFF00"/>
        </w:rPr>
      </w:pPr>
      <w:r>
        <w:rPr>
          <w:rFonts w:ascii="標楷體" w:eastAsia="標楷體" w:hAnsi="標楷體" w:cs="標楷體"/>
          <w:color w:val="FF0000"/>
          <w:shd w:val="clear" w:color="auto" w:fill="FFFF00"/>
        </w:rPr>
        <w:t>「</w:t>
      </w:r>
      <w:r>
        <w:rPr>
          <w:rFonts w:ascii="標楷體" w:eastAsia="標楷體" w:hAnsi="標楷體" w:cs="標楷體"/>
          <w:color w:val="FF0000"/>
          <w:shd w:val="clear" w:color="auto" w:fill="FFFF00"/>
        </w:rPr>
        <w:t>★</w:t>
      </w:r>
      <w:r>
        <w:rPr>
          <w:rFonts w:ascii="標楷體" w:eastAsia="標楷體" w:hAnsi="標楷體" w:cs="標楷體"/>
          <w:color w:val="FF0000"/>
          <w:shd w:val="clear" w:color="auto" w:fill="FFFF00"/>
        </w:rPr>
        <w:t>」標記者為章程必要記載事項；其餘條文應視公司需求決定是否訂明。</w:t>
      </w:r>
    </w:p>
    <w:p w:rsidR="009D21B1" w:rsidRDefault="009D21B1">
      <w:pPr>
        <w:pStyle w:val="Standard"/>
        <w:snapToGrid w:val="0"/>
        <w:jc w:val="center"/>
        <w:rPr>
          <w:rFonts w:ascii="標楷體" w:eastAsia="標楷體" w:hAnsi="標楷體" w:cs="標楷體"/>
          <w:b/>
          <w:bCs/>
          <w:color w:val="000000"/>
          <w:sz w:val="32"/>
          <w:shd w:val="clear" w:color="auto" w:fill="FFFF00"/>
        </w:rPr>
      </w:pPr>
    </w:p>
    <w:p w:rsidR="009D21B1" w:rsidRDefault="009D21B1">
      <w:pPr>
        <w:pStyle w:val="Standard"/>
        <w:snapToGrid w:val="0"/>
        <w:jc w:val="center"/>
        <w:rPr>
          <w:rFonts w:ascii="標楷體" w:eastAsia="標楷體" w:hAnsi="標楷體" w:cs="標楷體"/>
          <w:b/>
          <w:bCs/>
          <w:color w:val="000000"/>
          <w:sz w:val="32"/>
        </w:rPr>
      </w:pPr>
    </w:p>
    <w:p w:rsidR="009D21B1" w:rsidRDefault="005D62EF">
      <w:pPr>
        <w:pStyle w:val="Standard"/>
        <w:snapToGrid w:val="0"/>
        <w:spacing w:after="240"/>
        <w:jc w:val="center"/>
        <w:rPr>
          <w:rFonts w:ascii="標楷體" w:eastAsia="標楷體" w:hAnsi="標楷體" w:cs="標楷體"/>
          <w:b/>
          <w:bCs/>
          <w:color w:val="000000"/>
          <w:sz w:val="28"/>
        </w:rPr>
      </w:pPr>
      <w:r>
        <w:rPr>
          <w:rFonts w:ascii="標楷體" w:eastAsia="標楷體" w:hAnsi="標楷體" w:cs="標楷體"/>
          <w:b/>
          <w:bCs/>
          <w:color w:val="000000"/>
          <w:sz w:val="28"/>
        </w:rPr>
        <w:t>第一章總則</w:t>
      </w:r>
    </w:p>
    <w:tbl>
      <w:tblPr>
        <w:tblW w:w="9950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1051"/>
        <w:gridCol w:w="8420"/>
      </w:tblGrid>
      <w:tr w:rsidR="009D21B1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4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0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4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本公司依照公司法規定組織之，定名為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</w:rPr>
              <w:t>股份有限公司。</w:t>
            </w:r>
          </w:p>
          <w:p w:rsidR="009D21B1" w:rsidRDefault="005D62EF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本公司英文名稱為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　</w:t>
            </w:r>
            <w:r>
              <w:rPr>
                <w:rFonts w:ascii="標楷體" w:eastAsia="標楷體" w:hAnsi="標楷體" w:cs="標楷體"/>
              </w:rPr>
              <w:t>。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9D21B1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4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0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4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本公司所營事業如下：</w:t>
            </w:r>
          </w:p>
          <w:p w:rsidR="009D21B1" w:rsidRDefault="005D62EF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</w:p>
          <w:p w:rsidR="009D21B1" w:rsidRDefault="005D62EF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2. ZZ99999</w:t>
            </w:r>
            <w:r>
              <w:rPr>
                <w:rFonts w:ascii="標楷體" w:eastAsia="標楷體" w:hAnsi="標楷體" w:cs="標楷體"/>
                <w:color w:val="000000"/>
              </w:rPr>
              <w:t>除許可業務外，得經營法令非禁止或限制之業務</w:t>
            </w:r>
            <w:r>
              <w:rPr>
                <w:rFonts w:ascii="標楷體" w:eastAsia="標楷體" w:hAnsi="標楷體" w:cs="標楷體"/>
                <w:color w:val="000000"/>
                <w:spacing w:val="-20"/>
              </w:rPr>
              <w:t>。</w:t>
            </w:r>
          </w:p>
        </w:tc>
      </w:tr>
      <w:tr w:rsidR="009D21B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0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4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本公司設總公司於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>（縣／市），</w:t>
            </w:r>
          </w:p>
        </w:tc>
      </w:tr>
      <w:tr w:rsidR="009D21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必要時經董事會之決議得在國內外設立分公司。</w:t>
            </w:r>
          </w:p>
        </w:tc>
      </w:tr>
      <w:tr w:rsidR="009D21B1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4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4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本公司之公告方法依照公司法第</w:t>
            </w:r>
            <w:r>
              <w:rPr>
                <w:rFonts w:ascii="標楷體" w:eastAsia="標楷體" w:hAnsi="標楷體" w:cs="標楷體"/>
                <w:color w:val="000000"/>
              </w:rPr>
              <w:t>28</w:t>
            </w:r>
            <w:r>
              <w:rPr>
                <w:rFonts w:ascii="標楷體" w:eastAsia="標楷體" w:hAnsi="標楷體" w:cs="標楷體"/>
                <w:color w:val="000000"/>
              </w:rPr>
              <w:t>條規定辦理。</w:t>
            </w:r>
          </w:p>
        </w:tc>
      </w:tr>
      <w:tr w:rsidR="009D21B1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5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4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本公司為業務需要得對外保證。</w:t>
            </w:r>
          </w:p>
        </w:tc>
      </w:tr>
    </w:tbl>
    <w:p w:rsidR="009D21B1" w:rsidRDefault="009D21B1">
      <w:pPr>
        <w:pStyle w:val="Standard"/>
        <w:snapToGrid w:val="0"/>
        <w:spacing w:before="240" w:after="240"/>
        <w:jc w:val="center"/>
        <w:rPr>
          <w:rFonts w:ascii="標楷體" w:eastAsia="標楷體" w:hAnsi="標楷體" w:cs="標楷體"/>
          <w:b/>
          <w:bCs/>
          <w:color w:val="000000"/>
          <w:sz w:val="28"/>
        </w:rPr>
      </w:pPr>
    </w:p>
    <w:p w:rsidR="009D21B1" w:rsidRDefault="005D62EF">
      <w:pPr>
        <w:pStyle w:val="Standard"/>
        <w:snapToGrid w:val="0"/>
        <w:spacing w:before="240" w:after="240"/>
        <w:jc w:val="center"/>
        <w:rPr>
          <w:rFonts w:ascii="標楷體" w:eastAsia="標楷體" w:hAnsi="標楷體" w:cs="標楷體"/>
          <w:b/>
          <w:bCs/>
          <w:color w:val="000000"/>
          <w:sz w:val="28"/>
        </w:rPr>
      </w:pPr>
      <w:r>
        <w:rPr>
          <w:rFonts w:ascii="標楷體" w:eastAsia="標楷體" w:hAnsi="標楷體" w:cs="標楷體"/>
          <w:b/>
          <w:bCs/>
          <w:color w:val="000000"/>
          <w:sz w:val="28"/>
        </w:rPr>
        <w:t>第二章　股份</w:t>
      </w:r>
    </w:p>
    <w:tbl>
      <w:tblPr>
        <w:tblW w:w="9950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1051"/>
        <w:gridCol w:w="8420"/>
      </w:tblGrid>
      <w:tr w:rsidR="009D21B1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4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0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6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4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本公司資本額定為新臺幣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>元，分為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>股，每股金額新臺幣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>元，得分次發行。</w:t>
            </w:r>
          </w:p>
          <w:p w:rsidR="009D21B1" w:rsidRDefault="005D62EF">
            <w:pPr>
              <w:pStyle w:val="Standard"/>
              <w:snapToGrid w:val="0"/>
              <w:ind w:left="480" w:hanging="48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（或</w:t>
            </w:r>
          </w:p>
          <w:p w:rsidR="009D21B1" w:rsidRDefault="005D62EF">
            <w:pPr>
              <w:pStyle w:val="Standard"/>
              <w:snapToGrid w:val="0"/>
              <w:ind w:left="480" w:hanging="48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本公司採無票面金額股，資本分為</w:t>
            </w:r>
            <w:r>
              <w:rPr>
                <w:rFonts w:ascii="標楷體" w:eastAsia="標楷體" w:hAnsi="標楷體" w:cs="標楷體"/>
                <w:color w:val="000000"/>
              </w:rPr>
              <w:t>_____</w:t>
            </w:r>
            <w:r>
              <w:rPr>
                <w:rFonts w:ascii="標楷體" w:eastAsia="標楷體" w:hAnsi="標楷體" w:cs="標楷體"/>
                <w:color w:val="000000"/>
              </w:rPr>
              <w:t>股，得分次發行。）</w:t>
            </w:r>
          </w:p>
        </w:tc>
      </w:tr>
      <w:tr w:rsidR="009D21B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4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股東名簿記載之變更，於股東常會開會前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30</w:t>
            </w:r>
            <w:r>
              <w:rPr>
                <w:rFonts w:ascii="標楷體" w:eastAsia="標楷體" w:hAnsi="標楷體" w:cs="標楷體"/>
                <w:color w:val="000000"/>
              </w:rPr>
              <w:t>日內，股東臨時會開會前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15</w:t>
            </w:r>
            <w:r>
              <w:rPr>
                <w:rFonts w:ascii="標楷體" w:eastAsia="標楷體" w:hAnsi="標楷體" w:cs="標楷體"/>
                <w:color w:val="000000"/>
              </w:rPr>
              <w:t>日內，或公司決定分派股息及紅利或其他利益之基準日前</w:t>
            </w:r>
            <w:r>
              <w:rPr>
                <w:rFonts w:ascii="標楷體" w:eastAsia="標楷體" w:hAnsi="標楷體" w:cs="標楷體"/>
                <w:color w:val="000000"/>
              </w:rPr>
              <w:t>5</w:t>
            </w:r>
            <w:r>
              <w:rPr>
                <w:rFonts w:ascii="標楷體" w:eastAsia="標楷體" w:hAnsi="標楷體" w:cs="標楷體"/>
                <w:color w:val="000000"/>
              </w:rPr>
              <w:t>日內，不得為之。</w:t>
            </w:r>
          </w:p>
        </w:tc>
      </w:tr>
      <w:tr w:rsidR="009D21B1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4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8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4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本公司依公司法收買之庫藏股，轉讓之對象包括符合一定條件（或</w:t>
            </w:r>
            <w:r>
              <w:rPr>
                <w:rFonts w:ascii="標楷體" w:eastAsia="標楷體" w:hAnsi="標楷體" w:cs="標楷體"/>
                <w:color w:val="000000"/>
              </w:rPr>
              <w:t>______</w:t>
            </w:r>
            <w:r>
              <w:rPr>
                <w:rFonts w:ascii="標楷體" w:eastAsia="標楷體" w:hAnsi="標楷體" w:cs="標楷體"/>
                <w:color w:val="000000"/>
              </w:rPr>
              <w:t>條件）之控制或從屬公司員工。</w:t>
            </w:r>
          </w:p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本公司員工認股權憑證發給對象，包括符合一定條件（或</w:t>
            </w:r>
            <w:r>
              <w:rPr>
                <w:rFonts w:ascii="標楷體" w:eastAsia="標楷體" w:hAnsi="標楷體" w:cs="標楷體"/>
                <w:color w:val="000000"/>
              </w:rPr>
              <w:t>______</w:t>
            </w:r>
            <w:r>
              <w:rPr>
                <w:rFonts w:ascii="標楷體" w:eastAsia="標楷體" w:hAnsi="標楷體" w:cs="標楷體"/>
                <w:color w:val="000000"/>
              </w:rPr>
              <w:t>條件）之控制或從屬公司員工。</w:t>
            </w:r>
          </w:p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本公司發行新股時，承購股份之員工包括符合一定條件（或</w:t>
            </w:r>
            <w:r>
              <w:rPr>
                <w:rFonts w:ascii="標楷體" w:eastAsia="標楷體" w:hAnsi="標楷體" w:cs="標楷體"/>
                <w:color w:val="000000"/>
              </w:rPr>
              <w:t>______</w:t>
            </w:r>
            <w:r>
              <w:rPr>
                <w:rFonts w:ascii="標楷體" w:eastAsia="標楷體" w:hAnsi="標楷體" w:cs="標楷體"/>
                <w:color w:val="000000"/>
              </w:rPr>
              <w:t>條件）之控制或從屬公司員工。</w:t>
            </w:r>
          </w:p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本公司發行限制員工權利新股之對象包括符合一定條件（或</w:t>
            </w:r>
            <w:r>
              <w:rPr>
                <w:rFonts w:ascii="標楷體" w:eastAsia="標楷體" w:hAnsi="標楷體" w:cs="標楷體"/>
                <w:color w:val="000000"/>
              </w:rPr>
              <w:t>______</w:t>
            </w:r>
            <w:r>
              <w:rPr>
                <w:rFonts w:ascii="標楷體" w:eastAsia="標楷體" w:hAnsi="標楷體" w:cs="標楷體"/>
                <w:color w:val="000000"/>
              </w:rPr>
              <w:t>條件）之控制或從屬公司員工。</w:t>
            </w:r>
          </w:p>
        </w:tc>
      </w:tr>
    </w:tbl>
    <w:p w:rsidR="009D21B1" w:rsidRDefault="005D62EF">
      <w:pPr>
        <w:pStyle w:val="Standard"/>
        <w:pageBreakBefore/>
        <w:snapToGrid w:val="0"/>
        <w:spacing w:before="240" w:after="240"/>
        <w:jc w:val="center"/>
        <w:rPr>
          <w:rFonts w:ascii="標楷體" w:eastAsia="標楷體" w:hAnsi="標楷體" w:cs="標楷體"/>
          <w:b/>
          <w:bCs/>
          <w:color w:val="000000"/>
          <w:sz w:val="28"/>
        </w:rPr>
      </w:pPr>
      <w:r>
        <w:rPr>
          <w:rFonts w:ascii="標楷體" w:eastAsia="標楷體" w:hAnsi="標楷體" w:cs="標楷體"/>
          <w:b/>
          <w:bCs/>
          <w:color w:val="000000"/>
          <w:sz w:val="28"/>
        </w:rPr>
        <w:lastRenderedPageBreak/>
        <w:t>第三章　股東會</w:t>
      </w:r>
    </w:p>
    <w:tbl>
      <w:tblPr>
        <w:tblW w:w="9950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1164"/>
        <w:gridCol w:w="8307"/>
      </w:tblGrid>
      <w:tr w:rsidR="009D21B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9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3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股東會分常會及臨時會</w:t>
            </w:r>
            <w:r>
              <w:rPr>
                <w:rFonts w:ascii="標楷體" w:eastAsia="標楷體" w:hAnsi="標楷體" w:cs="標楷體"/>
                <w:color w:val="000000"/>
              </w:rPr>
              <w:t>2</w:t>
            </w:r>
            <w:r>
              <w:rPr>
                <w:rFonts w:ascii="標楷體" w:eastAsia="標楷體" w:hAnsi="標楷體" w:cs="標楷體"/>
                <w:color w:val="000000"/>
              </w:rPr>
              <w:t>種。常會每年至少召集一次，於每會計年度終了後</w:t>
            </w:r>
            <w:r>
              <w:rPr>
                <w:rFonts w:ascii="標楷體" w:eastAsia="標楷體" w:hAnsi="標楷體" w:cs="標楷體"/>
                <w:color w:val="000000"/>
              </w:rPr>
              <w:t>6</w:t>
            </w:r>
            <w:r>
              <w:rPr>
                <w:rFonts w:ascii="標楷體" w:eastAsia="標楷體" w:hAnsi="標楷體" w:cs="標楷體"/>
                <w:color w:val="000000"/>
              </w:rPr>
              <w:t>個月內由董事會依法召開；臨時會於必要時依法召集之。</w:t>
            </w:r>
          </w:p>
        </w:tc>
      </w:tr>
      <w:tr w:rsidR="009D21B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10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3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本公司股東會開會時，得以視訊會議或其他經中央主管機關公告之方式為之。</w:t>
            </w:r>
          </w:p>
        </w:tc>
      </w:tr>
      <w:tr w:rsidR="009D21B1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11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3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本公司各股東，每普通股有一表決權。但公司依法持有自己之股份，無表決權。</w:t>
            </w:r>
          </w:p>
        </w:tc>
      </w:tr>
      <w:tr w:rsidR="009D21B1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12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3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股東會之決議，除公司法另有規定外，應有代表已發行股份總數過半數股東之出席，以出席股東表決權過半數之同意行之。</w:t>
            </w:r>
          </w:p>
        </w:tc>
      </w:tr>
      <w:tr w:rsidR="009D21B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13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3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本公司僅為政府或法人股東一人所組織時，股東會職權由董事會行使，不適用本章程有關股東會之規定。</w:t>
            </w:r>
          </w:p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9D21B1" w:rsidRDefault="005D62EF">
      <w:pPr>
        <w:pStyle w:val="Standard"/>
        <w:snapToGrid w:val="0"/>
        <w:spacing w:before="240" w:after="240"/>
        <w:jc w:val="center"/>
        <w:rPr>
          <w:rFonts w:ascii="標楷體" w:eastAsia="標楷體" w:hAnsi="標楷體" w:cs="標楷體"/>
          <w:b/>
          <w:bCs/>
          <w:color w:val="000000"/>
          <w:sz w:val="28"/>
        </w:rPr>
      </w:pPr>
      <w:r>
        <w:rPr>
          <w:rFonts w:ascii="標楷體" w:eastAsia="標楷體" w:hAnsi="標楷體" w:cs="標楷體"/>
          <w:b/>
          <w:bCs/>
          <w:color w:val="000000"/>
          <w:sz w:val="28"/>
        </w:rPr>
        <w:t>第四章　董事及監察人</w:t>
      </w:r>
    </w:p>
    <w:tbl>
      <w:tblPr>
        <w:tblW w:w="9950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"/>
        <w:gridCol w:w="1161"/>
        <w:gridCol w:w="39"/>
        <w:gridCol w:w="8268"/>
      </w:tblGrid>
      <w:tr w:rsidR="009D21B1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FFFFFF"/>
              </w:rPr>
            </w:pPr>
          </w:p>
        </w:tc>
        <w:tc>
          <w:tcPr>
            <w:tcW w:w="9468" w:type="dxa"/>
            <w:gridSpan w:val="3"/>
            <w:shd w:val="clear" w:color="auto" w:fill="000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FFFFFF"/>
              </w:rPr>
              <w:t>方案Ａ：公司設董事</w:t>
            </w:r>
            <w:r>
              <w:rPr>
                <w:rFonts w:ascii="標楷體" w:eastAsia="標楷體" w:hAnsi="標楷體" w:cs="標楷體"/>
                <w:color w:val="FFFFFF"/>
              </w:rPr>
              <w:t>3</w:t>
            </w:r>
            <w:r>
              <w:rPr>
                <w:rFonts w:ascii="標楷體" w:eastAsia="標楷體" w:hAnsi="標楷體" w:cs="標楷體"/>
                <w:color w:val="FFFFFF"/>
              </w:rPr>
              <w:t>人以上</w:t>
            </w:r>
          </w:p>
        </w:tc>
      </w:tr>
      <w:tr w:rsidR="009D21B1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161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14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307" w:type="dxa"/>
            <w:gridSpan w:val="2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本公司設董事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</w:rPr>
              <w:t>人，監察人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</w:rPr>
              <w:t>人，任期三年，由股東會就有行為能力之人選任，得連選連任。</w:t>
            </w:r>
          </w:p>
        </w:tc>
      </w:tr>
      <w:tr w:rsidR="009D21B1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1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15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307" w:type="dxa"/>
            <w:gridSpan w:val="2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董事會由董事組織之，由三分之二以上董事之出席，及出席董事過半數之同意互選董事長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人及副董事長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人，董事長對外代表公司。</w:t>
            </w:r>
          </w:p>
        </w:tc>
      </w:tr>
      <w:tr w:rsidR="009D21B1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1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307" w:type="dxa"/>
            <w:gridSpan w:val="2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董事開會時，董事得由其他董事代理出席。</w:t>
            </w:r>
          </w:p>
        </w:tc>
      </w:tr>
      <w:tr w:rsidR="009D21B1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30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21B1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FFFFFF"/>
              </w:rPr>
            </w:pPr>
          </w:p>
        </w:tc>
        <w:tc>
          <w:tcPr>
            <w:tcW w:w="9468" w:type="dxa"/>
            <w:gridSpan w:val="3"/>
            <w:shd w:val="clear" w:color="auto" w:fill="000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FFFFFF"/>
              </w:rPr>
            </w:pPr>
            <w:r>
              <w:rPr>
                <w:rFonts w:ascii="標楷體" w:eastAsia="標楷體" w:hAnsi="標楷體" w:cs="標楷體"/>
                <w:color w:val="FFFFFF"/>
              </w:rPr>
              <w:t>方案Ｂ：公司設董事</w:t>
            </w:r>
            <w:r>
              <w:rPr>
                <w:rFonts w:ascii="標楷體" w:eastAsia="標楷體" w:hAnsi="標楷體" w:cs="標楷體"/>
                <w:color w:val="FFFFFF"/>
              </w:rPr>
              <w:t>1</w:t>
            </w:r>
            <w:r>
              <w:rPr>
                <w:rFonts w:ascii="標楷體" w:eastAsia="標楷體" w:hAnsi="標楷體" w:cs="標楷體"/>
                <w:color w:val="FFFFFF"/>
              </w:rPr>
              <w:t>人，不設董事會</w:t>
            </w:r>
          </w:p>
        </w:tc>
      </w:tr>
      <w:tr w:rsidR="009D21B1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00" w:type="dxa"/>
            <w:gridSpan w:val="2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14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2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本公司不設董事會。</w:t>
            </w:r>
          </w:p>
        </w:tc>
      </w:tr>
      <w:tr w:rsidR="009D21B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200" w:type="dxa"/>
            <w:gridSpan w:val="2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15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2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本公司設董事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人，監察人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</w:rPr>
              <w:t>人，任期三年，由股東會就有行為能力之人選任，連選得連任，並以其為董事長，董事會之職權並由該董事行使，不適用公司法有關董事會之規定。</w:t>
            </w:r>
          </w:p>
        </w:tc>
      </w:tr>
      <w:tr w:rsidR="009D21B1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4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0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21B1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FFFFFF"/>
              </w:rPr>
            </w:pPr>
          </w:p>
        </w:tc>
        <w:tc>
          <w:tcPr>
            <w:tcW w:w="9468" w:type="dxa"/>
            <w:gridSpan w:val="3"/>
            <w:shd w:val="clear" w:color="auto" w:fill="000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FFFFFF"/>
              </w:rPr>
            </w:pPr>
            <w:r>
              <w:rPr>
                <w:rFonts w:ascii="標楷體" w:eastAsia="標楷體" w:hAnsi="標楷體" w:cs="標楷體"/>
                <w:color w:val="FFFFFF"/>
              </w:rPr>
              <w:t>方案Ｃ</w:t>
            </w:r>
            <w:r>
              <w:rPr>
                <w:rFonts w:ascii="標楷體" w:eastAsia="標楷體" w:hAnsi="標楷體" w:cs="標楷體"/>
                <w:color w:val="FFFFFF"/>
              </w:rPr>
              <w:t xml:space="preserve"> </w:t>
            </w:r>
            <w:r>
              <w:rPr>
                <w:rFonts w:ascii="標楷體" w:eastAsia="標楷體" w:hAnsi="標楷體" w:cs="標楷體"/>
                <w:color w:val="FFFFFF"/>
              </w:rPr>
              <w:t>：公司設董事</w:t>
            </w:r>
            <w:r>
              <w:rPr>
                <w:rFonts w:ascii="標楷體" w:eastAsia="標楷體" w:hAnsi="標楷體" w:cs="標楷體"/>
                <w:color w:val="FFFFFF"/>
              </w:rPr>
              <w:t>2</w:t>
            </w:r>
            <w:r>
              <w:rPr>
                <w:rFonts w:ascii="標楷體" w:eastAsia="標楷體" w:hAnsi="標楷體" w:cs="標楷體"/>
                <w:color w:val="FFFFFF"/>
              </w:rPr>
              <w:t>人，不設董事會</w:t>
            </w:r>
          </w:p>
        </w:tc>
      </w:tr>
      <w:tr w:rsidR="009D21B1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00" w:type="dxa"/>
            <w:gridSpan w:val="2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14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2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本公司不設董事會。</w:t>
            </w:r>
          </w:p>
        </w:tc>
      </w:tr>
      <w:tr w:rsidR="009D21B1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200" w:type="dxa"/>
            <w:gridSpan w:val="2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15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2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本公司設董事</w:t>
            </w:r>
            <w:r>
              <w:rPr>
                <w:rFonts w:ascii="標楷體" w:eastAsia="標楷體" w:hAnsi="標楷體" w:cs="標楷體"/>
                <w:color w:val="000000"/>
              </w:rPr>
              <w:t>2</w:t>
            </w:r>
            <w:r>
              <w:rPr>
                <w:rFonts w:ascii="標楷體" w:eastAsia="標楷體" w:hAnsi="標楷體" w:cs="標楷體"/>
                <w:color w:val="000000"/>
              </w:rPr>
              <w:t>人，監察人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</w:rPr>
              <w:t>人，任期三年，由股東會就有行為能力之人選任，連選得連任，並準用公司法有關董事會之規定。</w:t>
            </w:r>
          </w:p>
        </w:tc>
      </w:tr>
      <w:tr w:rsidR="009D21B1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0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21B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0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16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於經本公司全體董事同意，董事就當次董事會議案得以書面方式行使表決權，而不實際集會。</w:t>
            </w:r>
          </w:p>
        </w:tc>
      </w:tr>
      <w:tr w:rsidR="009D21B1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0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17</w:t>
            </w:r>
            <w:r>
              <w:rPr>
                <w:rFonts w:ascii="標楷體" w:eastAsia="標楷體" w:hAnsi="標楷體" w:cs="標楷體"/>
                <w:color w:val="000000"/>
              </w:rPr>
              <w:t>條</w:t>
            </w:r>
          </w:p>
        </w:tc>
        <w:tc>
          <w:tcPr>
            <w:tcW w:w="8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全體董事及監察人之報酬，如下：＿＿＿＿。</w:t>
            </w:r>
          </w:p>
          <w:p w:rsidR="009D21B1" w:rsidRDefault="005D62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（或　全體董事及監察人之報酬，授權董事會議依同業通常水準支給之。）</w:t>
            </w:r>
          </w:p>
        </w:tc>
      </w:tr>
    </w:tbl>
    <w:p w:rsidR="009D21B1" w:rsidRDefault="005D62EF">
      <w:pPr>
        <w:pStyle w:val="Standard"/>
        <w:pageBreakBefore/>
        <w:snapToGrid w:val="0"/>
        <w:spacing w:before="240" w:after="240"/>
        <w:jc w:val="center"/>
        <w:rPr>
          <w:rFonts w:ascii="標楷體" w:eastAsia="標楷體" w:hAnsi="標楷體" w:cs="標楷體"/>
          <w:b/>
          <w:bCs/>
          <w:color w:val="000000"/>
          <w:sz w:val="28"/>
        </w:rPr>
      </w:pPr>
      <w:r>
        <w:rPr>
          <w:rFonts w:ascii="標楷體" w:eastAsia="標楷體" w:hAnsi="標楷體" w:cs="標楷體"/>
          <w:b/>
          <w:bCs/>
          <w:color w:val="000000"/>
          <w:sz w:val="28"/>
        </w:rPr>
        <w:lastRenderedPageBreak/>
        <w:t>第五章　經理人</w:t>
      </w:r>
    </w:p>
    <w:tbl>
      <w:tblPr>
        <w:tblW w:w="9950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1228"/>
        <w:gridCol w:w="8268"/>
      </w:tblGrid>
      <w:tr w:rsidR="009D21B1">
        <w:tblPrEx>
          <w:tblCellMar>
            <w:top w:w="0" w:type="dxa"/>
            <w:bottom w:w="0" w:type="dxa"/>
          </w:tblCellMar>
        </w:tblPrEx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18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本公司得設經理人，其委任、解任及報酬，依照公司法第</w:t>
            </w:r>
            <w:r>
              <w:rPr>
                <w:rFonts w:ascii="標楷體" w:eastAsia="標楷體" w:hAnsi="標楷體" w:cs="標楷體"/>
                <w:color w:val="000000"/>
              </w:rPr>
              <w:t>29</w:t>
            </w:r>
            <w:r>
              <w:rPr>
                <w:rFonts w:ascii="標楷體" w:eastAsia="標楷體" w:hAnsi="標楷體" w:cs="標楷體"/>
                <w:color w:val="000000"/>
              </w:rPr>
              <w:t>條規定辦理。</w:t>
            </w:r>
          </w:p>
        </w:tc>
      </w:tr>
    </w:tbl>
    <w:p w:rsidR="009D21B1" w:rsidRDefault="009D21B1">
      <w:pPr>
        <w:pStyle w:val="Standard"/>
        <w:snapToGrid w:val="0"/>
        <w:spacing w:before="240" w:after="240"/>
        <w:jc w:val="center"/>
        <w:rPr>
          <w:rFonts w:ascii="標楷體" w:eastAsia="標楷體" w:hAnsi="標楷體" w:cs="標楷體"/>
          <w:b/>
          <w:bCs/>
          <w:color w:val="000000"/>
          <w:sz w:val="28"/>
        </w:rPr>
      </w:pPr>
    </w:p>
    <w:p w:rsidR="009D21B1" w:rsidRDefault="005D62EF">
      <w:pPr>
        <w:pStyle w:val="Standard"/>
        <w:snapToGrid w:val="0"/>
        <w:spacing w:before="240" w:after="240"/>
        <w:jc w:val="center"/>
        <w:rPr>
          <w:rFonts w:ascii="標楷體" w:eastAsia="標楷體" w:hAnsi="標楷體" w:cs="標楷體"/>
          <w:b/>
          <w:bCs/>
          <w:color w:val="000000"/>
          <w:sz w:val="28"/>
        </w:rPr>
      </w:pPr>
      <w:r>
        <w:rPr>
          <w:rFonts w:ascii="標楷體" w:eastAsia="標楷體" w:hAnsi="標楷體" w:cs="標楷體"/>
          <w:b/>
          <w:bCs/>
          <w:color w:val="000000"/>
          <w:sz w:val="28"/>
        </w:rPr>
        <w:t>第六章　會計</w:t>
      </w:r>
    </w:p>
    <w:tbl>
      <w:tblPr>
        <w:tblW w:w="9950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"/>
        <w:gridCol w:w="1200"/>
        <w:gridCol w:w="8268"/>
      </w:tblGrid>
      <w:tr w:rsidR="009D21B1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9468" w:type="dxa"/>
            <w:gridSpan w:val="2"/>
            <w:shd w:val="clear" w:color="auto" w:fill="0D0D0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</w:pPr>
            <w:r>
              <w:rPr>
                <w:rFonts w:eastAsia="標楷體"/>
                <w:color w:val="FFFFFF"/>
              </w:rPr>
              <w:t>方案Ａ：</w:t>
            </w:r>
            <w:r>
              <w:rPr>
                <w:rFonts w:eastAsia="標楷體"/>
                <w:color w:val="FFFFFF"/>
              </w:rPr>
              <w:t>1</w:t>
            </w:r>
            <w:r>
              <w:rPr>
                <w:rFonts w:eastAsia="標楷體"/>
                <w:color w:val="FFFFFF"/>
              </w:rPr>
              <w:t>年</w:t>
            </w:r>
            <w:r>
              <w:rPr>
                <w:rFonts w:eastAsia="標楷體"/>
                <w:color w:val="FFFFFF"/>
              </w:rPr>
              <w:t>1</w:t>
            </w:r>
            <w:r>
              <w:rPr>
                <w:rFonts w:eastAsia="標楷體"/>
                <w:color w:val="FFFFFF"/>
              </w:rPr>
              <w:t>次盈餘分派或虧損撥補之公司適用</w:t>
            </w:r>
          </w:p>
        </w:tc>
      </w:tr>
      <w:tr w:rsidR="009D21B1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eastAsia="標楷體"/>
                <w:b/>
                <w:color w:val="000000"/>
              </w:rPr>
            </w:pPr>
          </w:p>
        </w:tc>
        <w:tc>
          <w:tcPr>
            <w:tcW w:w="1200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19</w:t>
            </w:r>
            <w:r>
              <w:rPr>
                <w:rFonts w:eastAsia="標楷體"/>
                <w:color w:val="000000"/>
              </w:rPr>
              <w:t>條</w:t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</w:tc>
        <w:tc>
          <w:tcPr>
            <w:tcW w:w="82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本公司每屆會計年度終了，董事會應編造營業報告書、財務報表及盈餘分派或虧損撥補之議案，並提請股東常會承認。</w:t>
            </w:r>
          </w:p>
        </w:tc>
      </w:tr>
      <w:tr w:rsidR="009D21B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eastAsia="標楷體"/>
                <w:b/>
                <w:color w:val="000000"/>
                <w:u w:val="single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8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21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FFFFFF"/>
                <w:u w:val="single"/>
              </w:rPr>
            </w:pPr>
          </w:p>
        </w:tc>
        <w:tc>
          <w:tcPr>
            <w:tcW w:w="9468" w:type="dxa"/>
            <w:gridSpan w:val="2"/>
            <w:shd w:val="clear" w:color="auto" w:fill="000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FFFFFF"/>
              </w:rPr>
              <w:t>方案Ｂ：</w:t>
            </w:r>
            <w:r>
              <w:rPr>
                <w:rFonts w:ascii="標楷體" w:eastAsia="標楷體" w:hAnsi="標楷體" w:cs="標楷體"/>
                <w:color w:val="FFFFFF"/>
              </w:rPr>
              <w:t>1</w:t>
            </w:r>
            <w:r>
              <w:rPr>
                <w:rFonts w:ascii="標楷體" w:eastAsia="標楷體" w:hAnsi="標楷體" w:cs="標楷體"/>
                <w:color w:val="FFFFFF"/>
              </w:rPr>
              <w:t>年</w:t>
            </w:r>
            <w:r>
              <w:rPr>
                <w:rFonts w:ascii="標楷體" w:eastAsia="標楷體" w:hAnsi="標楷體" w:cs="標楷體"/>
                <w:color w:val="FFFFFF"/>
              </w:rPr>
              <w:t>2</w:t>
            </w:r>
            <w:r>
              <w:rPr>
                <w:rFonts w:ascii="標楷體" w:eastAsia="標楷體" w:hAnsi="標楷體" w:cs="標楷體"/>
                <w:color w:val="FFFFFF"/>
              </w:rPr>
              <w:t>次盈餘分派或虧損撥補之公司適用</w:t>
            </w:r>
            <w:r>
              <w:rPr>
                <w:rFonts w:ascii="標楷體" w:eastAsia="標楷體" w:hAnsi="標楷體" w:cs="標楷體"/>
                <w:b/>
                <w:color w:val="FFFFFF"/>
              </w:rPr>
              <w:t>：</w:t>
            </w:r>
          </w:p>
        </w:tc>
      </w:tr>
      <w:tr w:rsidR="009D21B1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00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19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2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本公司盈餘分派或虧損撥補，於每半會計年度終了後為之。</w:t>
            </w:r>
          </w:p>
        </w:tc>
      </w:tr>
      <w:tr w:rsidR="009D21B1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4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00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20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2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本公司前半會計年度有盈餘分派或虧損撥補議案者，應於後半會計年度終了前，連同營業報告書及財務報表交監察人查核後，提董事會決議。</w:t>
            </w:r>
          </w:p>
        </w:tc>
      </w:tr>
      <w:tr w:rsidR="009D21B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00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21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2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本公司每屆會計年度終了，董事會應編造營業報告書、財務報表及盈餘分派或虧損撥補之議案，並提請股東常會承認。</w:t>
            </w:r>
          </w:p>
        </w:tc>
      </w:tr>
      <w:tr w:rsidR="009D21B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21B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FFFFFF"/>
              </w:rPr>
            </w:pPr>
          </w:p>
        </w:tc>
        <w:tc>
          <w:tcPr>
            <w:tcW w:w="9468" w:type="dxa"/>
            <w:gridSpan w:val="2"/>
            <w:shd w:val="clear" w:color="auto" w:fill="000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FFFFFF"/>
              </w:rPr>
            </w:pPr>
            <w:r>
              <w:rPr>
                <w:rFonts w:ascii="標楷體" w:eastAsia="標楷體" w:hAnsi="標楷體" w:cs="標楷體"/>
                <w:color w:val="FFFFFF"/>
              </w:rPr>
              <w:t>方案Ｃ：</w:t>
            </w:r>
            <w:r>
              <w:rPr>
                <w:rFonts w:ascii="標楷體" w:eastAsia="標楷體" w:hAnsi="標楷體" w:cs="標楷體"/>
                <w:color w:val="FFFFFF"/>
              </w:rPr>
              <w:t>1</w:t>
            </w:r>
            <w:r>
              <w:rPr>
                <w:rFonts w:ascii="標楷體" w:eastAsia="標楷體" w:hAnsi="標楷體" w:cs="標楷體"/>
                <w:color w:val="FFFFFF"/>
              </w:rPr>
              <w:t>年</w:t>
            </w:r>
            <w:r>
              <w:rPr>
                <w:rFonts w:ascii="標楷體" w:eastAsia="標楷體" w:hAnsi="標楷體" w:cs="標楷體"/>
                <w:color w:val="FFFFFF"/>
              </w:rPr>
              <w:t>4</w:t>
            </w:r>
            <w:r>
              <w:rPr>
                <w:rFonts w:ascii="標楷體" w:eastAsia="標楷體" w:hAnsi="標楷體" w:cs="標楷體"/>
                <w:color w:val="FFFFFF"/>
              </w:rPr>
              <w:t>次盈餘分派或虧損撥補之公司適用：</w:t>
            </w:r>
          </w:p>
        </w:tc>
      </w:tr>
      <w:tr w:rsidR="009D21B1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00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19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2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本公司盈餘分派或虧損撥補，於每季終了後為之。</w:t>
            </w:r>
          </w:p>
        </w:tc>
      </w:tr>
      <w:tr w:rsidR="009D21B1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4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00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20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2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本公司前三季有盈餘分派或虧損撥補議案者，應於次季終了前，連同營業報告書及財務報表交監察人查核後，提董事會決議。</w:t>
            </w:r>
          </w:p>
        </w:tc>
      </w:tr>
      <w:tr w:rsidR="009D21B1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4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00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21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2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本公司每屆會計年度終了，董事會應編造營業報告書、財務報表及盈餘分派或虧損撥補之議案，並提請股東常會承認。</w:t>
            </w:r>
          </w:p>
        </w:tc>
      </w:tr>
      <w:tr w:rsidR="009D21B1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26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21B1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22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本公司股息定為年息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>分，但公司無盈餘時，不得分派。</w:t>
            </w:r>
          </w:p>
        </w:tc>
      </w:tr>
      <w:tr w:rsidR="009D21B1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4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23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公司年度如有獲利，應提撥</w:t>
            </w:r>
            <w:r>
              <w:rPr>
                <w:rFonts w:ascii="標楷體" w:eastAsia="標楷體" w:hAnsi="標楷體" w:cs="標楷體"/>
                <w:color w:val="000000"/>
              </w:rPr>
              <w:t>___%</w:t>
            </w:r>
            <w:r>
              <w:rPr>
                <w:rFonts w:ascii="標楷體" w:eastAsia="標楷體" w:hAnsi="標楷體" w:cs="標楷體"/>
                <w:color w:val="000000"/>
              </w:rPr>
              <w:t>（或</w:t>
            </w:r>
            <w:r>
              <w:rPr>
                <w:rFonts w:ascii="標楷體" w:eastAsia="標楷體" w:hAnsi="標楷體" w:cs="標楷體"/>
                <w:color w:val="000000"/>
              </w:rPr>
              <w:t>___</w:t>
            </w:r>
            <w:r>
              <w:rPr>
                <w:rFonts w:ascii="標楷體" w:eastAsia="標楷體" w:hAnsi="標楷體" w:cs="標楷體"/>
                <w:color w:val="000000"/>
              </w:rPr>
              <w:t>元）為員工酬勞。但公司尚有累積虧損時，應預先保留彌補數額。</w:t>
            </w:r>
          </w:p>
        </w:tc>
      </w:tr>
      <w:tr w:rsidR="009D21B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24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本公司分派員工酬勞之對象包括符合一定條件（或</w:t>
            </w:r>
            <w:r>
              <w:rPr>
                <w:rFonts w:ascii="標楷體" w:eastAsia="標楷體" w:hAnsi="標楷體" w:cs="標楷體"/>
                <w:color w:val="000000"/>
              </w:rPr>
              <w:t>______</w:t>
            </w:r>
            <w:r>
              <w:rPr>
                <w:rFonts w:ascii="標楷體" w:eastAsia="標楷體" w:hAnsi="標楷體" w:cs="標楷體"/>
                <w:color w:val="000000"/>
              </w:rPr>
              <w:t>條件）之控制或從屬公司員工。</w:t>
            </w:r>
          </w:p>
        </w:tc>
      </w:tr>
      <w:tr w:rsidR="009D21B1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4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25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公司年度總決算如有盈餘，應先提繳稅款、彌補累積虧損，次提</w:t>
            </w:r>
            <w:r>
              <w:rPr>
                <w:rFonts w:ascii="標楷體" w:eastAsia="標楷體" w:hAnsi="標楷體" w:cs="標楷體"/>
                <w:color w:val="000000"/>
              </w:rPr>
              <w:t>10%</w:t>
            </w:r>
            <w:r>
              <w:rPr>
                <w:rFonts w:ascii="標楷體" w:eastAsia="標楷體" w:hAnsi="標楷體" w:cs="標楷體"/>
                <w:color w:val="000000"/>
              </w:rPr>
              <w:t>為法定盈餘公積，但法定盈餘公積已達實收資本額時，不在此限。其餘除派付股息外，如尚有盈餘，再由股東會決議分派股東紅利。</w:t>
            </w:r>
          </w:p>
        </w:tc>
      </w:tr>
      <w:tr w:rsidR="009D21B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9D21B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26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本章程未訂事項，悉依公司法規定辦理。</w:t>
            </w:r>
          </w:p>
        </w:tc>
      </w:tr>
      <w:tr w:rsidR="009D21B1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27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1B1" w:rsidRDefault="005D62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本章程訂立於民國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日。</w:t>
            </w:r>
          </w:p>
        </w:tc>
      </w:tr>
    </w:tbl>
    <w:p w:rsidR="009D21B1" w:rsidRDefault="005D62EF">
      <w:pPr>
        <w:pStyle w:val="Standard"/>
      </w:pPr>
      <w:r>
        <w:rPr>
          <w:rFonts w:ascii="標楷體" w:eastAsia="標楷體" w:hAnsi="標楷體" w:cs="標楷體"/>
          <w:color w:val="000000"/>
        </w:rPr>
        <w:tab/>
      </w:r>
    </w:p>
    <w:sectPr w:rsidR="009D21B1">
      <w:footerReference w:type="default" r:id="rId8"/>
      <w:pgSz w:w="11906" w:h="16838"/>
      <w:pgMar w:top="907" w:right="851" w:bottom="1048" w:left="85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2EF" w:rsidRDefault="005D62EF">
      <w:r>
        <w:separator/>
      </w:r>
    </w:p>
  </w:endnote>
  <w:endnote w:type="continuationSeparator" w:id="0">
    <w:p w:rsidR="005D62EF" w:rsidRDefault="005D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, MingLiU"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82" w:rsidRDefault="005D62EF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9D0B27">
      <w:rPr>
        <w:noProof/>
      </w:rPr>
      <w:t>2</w:t>
    </w:r>
    <w:r>
      <w:fldChar w:fldCharType="end"/>
    </w:r>
  </w:p>
  <w:p w:rsidR="00097B82" w:rsidRDefault="005D62EF">
    <w:pPr>
      <w:pStyle w:val="a8"/>
      <w:jc w:val="right"/>
    </w:pPr>
    <w:r>
      <w:t>1080527</w:t>
    </w:r>
    <w:r>
      <w:t>修正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2EF" w:rsidRDefault="005D62EF">
      <w:r>
        <w:rPr>
          <w:color w:val="000000"/>
        </w:rPr>
        <w:separator/>
      </w:r>
    </w:p>
  </w:footnote>
  <w:footnote w:type="continuationSeparator" w:id="0">
    <w:p w:rsidR="005D62EF" w:rsidRDefault="005D6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0DD9"/>
    <w:multiLevelType w:val="multilevel"/>
    <w:tmpl w:val="FEAA82AA"/>
    <w:styleLink w:val="WW8Num1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">
    <w:nsid w:val="28A74383"/>
    <w:multiLevelType w:val="multilevel"/>
    <w:tmpl w:val="77B4C522"/>
    <w:styleLink w:val="WW8Num2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21B1"/>
    <w:rsid w:val="005D62EF"/>
    <w:rsid w:val="009D0B27"/>
    <w:rsid w:val="009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annotation text"/>
    <w:basedOn w:val="Standard"/>
  </w:style>
  <w:style w:type="paragraph" w:styleId="a6">
    <w:name w:val="Balloon Text"/>
    <w:basedOn w:val="Standard"/>
    <w:rPr>
      <w:rFonts w:ascii="Arial" w:hAnsi="Arial" w:cs="Arial"/>
      <w:sz w:val="18"/>
      <w:szCs w:val="18"/>
    </w:rPr>
  </w:style>
  <w:style w:type="paragraph" w:styleId="a7">
    <w:name w:val="header"/>
    <w:basedOn w:val="Standard"/>
    <w:pPr>
      <w:snapToGrid w:val="0"/>
    </w:pPr>
    <w:rPr>
      <w:sz w:val="20"/>
      <w:szCs w:val="20"/>
    </w:rPr>
  </w:style>
  <w:style w:type="paragraph" w:styleId="a8">
    <w:name w:val="footer"/>
    <w:basedOn w:val="Standard"/>
    <w:pPr>
      <w:snapToGrid w:val="0"/>
    </w:pPr>
    <w:rPr>
      <w:sz w:val="20"/>
      <w:szCs w:val="20"/>
    </w:rPr>
  </w:style>
  <w:style w:type="paragraph" w:styleId="a9">
    <w:name w:val="annotation subject"/>
    <w:basedOn w:val="a5"/>
    <w:next w:val="a5"/>
    <w:rPr>
      <w:b/>
      <w:bCs/>
    </w:rPr>
  </w:style>
  <w:style w:type="paragraph" w:styleId="HTML">
    <w:name w:val="HTML Preformatted"/>
    <w:basedOn w:val="Standard"/>
    <w:pPr>
      <w:widowControl/>
    </w:pPr>
    <w:rPr>
      <w:rFonts w:ascii="細明體, MingLiU" w:eastAsia="細明體, MingLiU" w:hAnsi="細明體, MingLiU" w:cs="細明體, MingLiU"/>
    </w:rPr>
  </w:style>
  <w:style w:type="paragraph" w:styleId="aa">
    <w:name w:val="Revision"/>
    <w:pPr>
      <w:widowControl/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Footnote">
    <w:name w:val="Footnote"/>
    <w:basedOn w:val="Standard"/>
    <w:pPr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ab">
    <w:name w:val="註解文字 字元"/>
    <w:rPr>
      <w:rFonts w:cs="Times New Roman"/>
      <w:sz w:val="24"/>
      <w:szCs w:val="24"/>
    </w:rPr>
  </w:style>
  <w:style w:type="character" w:styleId="ac">
    <w:name w:val="annotation reference"/>
    <w:rPr>
      <w:rFonts w:cs="Times New Roman"/>
      <w:sz w:val="18"/>
      <w:szCs w:val="18"/>
    </w:rPr>
  </w:style>
  <w:style w:type="character" w:customStyle="1" w:styleId="ad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ae">
    <w:name w:val="頁首 字元"/>
    <w:rPr>
      <w:kern w:val="3"/>
    </w:rPr>
  </w:style>
  <w:style w:type="character" w:customStyle="1" w:styleId="af">
    <w:name w:val="頁尾 字元"/>
    <w:rPr>
      <w:kern w:val="3"/>
    </w:rPr>
  </w:style>
  <w:style w:type="character" w:customStyle="1" w:styleId="af0">
    <w:name w:val="註解主旨 字元"/>
    <w:rPr>
      <w:rFonts w:cs="Times New Roman"/>
      <w:b/>
      <w:bCs/>
      <w:kern w:val="3"/>
      <w:sz w:val="24"/>
      <w:szCs w:val="24"/>
    </w:rPr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sz w:val="24"/>
      <w:szCs w:val="24"/>
    </w:rPr>
  </w:style>
  <w:style w:type="character" w:customStyle="1" w:styleId="af1">
    <w:name w:val="註腳文字 字元"/>
    <w:rPr>
      <w:kern w:val="3"/>
    </w:rPr>
  </w:style>
  <w:style w:type="character" w:customStyle="1" w:styleId="FootnoteSymbol">
    <w:name w:val="Footnote Symbol"/>
    <w:rPr>
      <w:position w:val="0"/>
      <w:vertAlign w:val="superscript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annotation text"/>
    <w:basedOn w:val="Standard"/>
  </w:style>
  <w:style w:type="paragraph" w:styleId="a6">
    <w:name w:val="Balloon Text"/>
    <w:basedOn w:val="Standard"/>
    <w:rPr>
      <w:rFonts w:ascii="Arial" w:hAnsi="Arial" w:cs="Arial"/>
      <w:sz w:val="18"/>
      <w:szCs w:val="18"/>
    </w:rPr>
  </w:style>
  <w:style w:type="paragraph" w:styleId="a7">
    <w:name w:val="header"/>
    <w:basedOn w:val="Standard"/>
    <w:pPr>
      <w:snapToGrid w:val="0"/>
    </w:pPr>
    <w:rPr>
      <w:sz w:val="20"/>
      <w:szCs w:val="20"/>
    </w:rPr>
  </w:style>
  <w:style w:type="paragraph" w:styleId="a8">
    <w:name w:val="footer"/>
    <w:basedOn w:val="Standard"/>
    <w:pPr>
      <w:snapToGrid w:val="0"/>
    </w:pPr>
    <w:rPr>
      <w:sz w:val="20"/>
      <w:szCs w:val="20"/>
    </w:rPr>
  </w:style>
  <w:style w:type="paragraph" w:styleId="a9">
    <w:name w:val="annotation subject"/>
    <w:basedOn w:val="a5"/>
    <w:next w:val="a5"/>
    <w:rPr>
      <w:b/>
      <w:bCs/>
    </w:rPr>
  </w:style>
  <w:style w:type="paragraph" w:styleId="HTML">
    <w:name w:val="HTML Preformatted"/>
    <w:basedOn w:val="Standard"/>
    <w:pPr>
      <w:widowControl/>
    </w:pPr>
    <w:rPr>
      <w:rFonts w:ascii="細明體, MingLiU" w:eastAsia="細明體, MingLiU" w:hAnsi="細明體, MingLiU" w:cs="細明體, MingLiU"/>
    </w:rPr>
  </w:style>
  <w:style w:type="paragraph" w:styleId="aa">
    <w:name w:val="Revision"/>
    <w:pPr>
      <w:widowControl/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Footnote">
    <w:name w:val="Footnote"/>
    <w:basedOn w:val="Standard"/>
    <w:pPr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ab">
    <w:name w:val="註解文字 字元"/>
    <w:rPr>
      <w:rFonts w:cs="Times New Roman"/>
      <w:sz w:val="24"/>
      <w:szCs w:val="24"/>
    </w:rPr>
  </w:style>
  <w:style w:type="character" w:styleId="ac">
    <w:name w:val="annotation reference"/>
    <w:rPr>
      <w:rFonts w:cs="Times New Roman"/>
      <w:sz w:val="18"/>
      <w:szCs w:val="18"/>
    </w:rPr>
  </w:style>
  <w:style w:type="character" w:customStyle="1" w:styleId="ad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ae">
    <w:name w:val="頁首 字元"/>
    <w:rPr>
      <w:kern w:val="3"/>
    </w:rPr>
  </w:style>
  <w:style w:type="character" w:customStyle="1" w:styleId="af">
    <w:name w:val="頁尾 字元"/>
    <w:rPr>
      <w:kern w:val="3"/>
    </w:rPr>
  </w:style>
  <w:style w:type="character" w:customStyle="1" w:styleId="af0">
    <w:name w:val="註解主旨 字元"/>
    <w:rPr>
      <w:rFonts w:cs="Times New Roman"/>
      <w:b/>
      <w:bCs/>
      <w:kern w:val="3"/>
      <w:sz w:val="24"/>
      <w:szCs w:val="24"/>
    </w:rPr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sz w:val="24"/>
      <w:szCs w:val="24"/>
    </w:rPr>
  </w:style>
  <w:style w:type="character" w:customStyle="1" w:styleId="af1">
    <w:name w:val="註腳文字 字元"/>
    <w:rPr>
      <w:kern w:val="3"/>
    </w:rPr>
  </w:style>
  <w:style w:type="character" w:customStyle="1" w:styleId="FootnoteSymbol">
    <w:name w:val="Footnote Symbol"/>
    <w:rPr>
      <w:position w:val="0"/>
      <w:vertAlign w:val="superscript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1932</Characters>
  <Application>Microsoft Office Word</Application>
  <DocSecurity>0</DocSecurity>
  <Lines>16</Lines>
  <Paragraphs>4</Paragraphs>
  <ScaleCrop>false</ScaleCrop>
  <Company>Ministry of Economic Affairs,R.O.C.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股份有限公司公司章程</dc:title>
  <dc:subject>股份有限公司公司章程(A4直印)</dc:subject>
  <dc:creator>經濟部商業司</dc:creator>
  <cp:keywords>股份有限公司公司章程</cp:keywords>
  <cp:lastModifiedBy>朱家慧</cp:lastModifiedBy>
  <cp:revision>2</cp:revision>
  <cp:lastPrinted>2021-09-28T02:07:00Z</cp:lastPrinted>
  <dcterms:created xsi:type="dcterms:W3CDTF">2021-09-28T02:09:00Z</dcterms:created>
  <dcterms:modified xsi:type="dcterms:W3CDTF">2021-09-28T02:09:00Z</dcterms:modified>
</cp:coreProperties>
</file>